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6DE" w:rsidRDefault="003606DE" w:rsidP="003606DE"/>
    <w:tbl>
      <w:tblPr>
        <w:tblW w:w="0" w:type="auto"/>
        <w:jc w:val="center"/>
        <w:tblCellMar>
          <w:left w:w="0" w:type="dxa"/>
          <w:right w:w="0" w:type="dxa"/>
        </w:tblCellMar>
        <w:tblLook w:val="04A0" w:firstRow="1" w:lastRow="0" w:firstColumn="1" w:lastColumn="0" w:noHBand="0" w:noVBand="1"/>
      </w:tblPr>
      <w:tblGrid>
        <w:gridCol w:w="503"/>
        <w:gridCol w:w="4477"/>
        <w:gridCol w:w="2019"/>
        <w:gridCol w:w="1603"/>
        <w:gridCol w:w="404"/>
      </w:tblGrid>
      <w:tr w:rsidR="003606DE" w:rsidTr="003606DE">
        <w:trPr>
          <w:jc w:val="center"/>
        </w:trPr>
        <w:tc>
          <w:tcPr>
            <w:tcW w:w="9529" w:type="dxa"/>
            <w:gridSpan w:val="5"/>
            <w:tcBorders>
              <w:top w:val="single" w:sz="8" w:space="0" w:color="auto"/>
              <w:left w:val="single" w:sz="8" w:space="0" w:color="auto"/>
              <w:bottom w:val="single" w:sz="8" w:space="0" w:color="auto"/>
              <w:right w:val="single" w:sz="8" w:space="0" w:color="auto"/>
            </w:tcBorders>
            <w:shd w:val="clear" w:color="auto" w:fill="660033"/>
            <w:tcMar>
              <w:top w:w="85" w:type="dxa"/>
              <w:left w:w="85" w:type="dxa"/>
              <w:bottom w:w="85" w:type="dxa"/>
              <w:right w:w="85" w:type="dxa"/>
            </w:tcMar>
            <w:hideMark/>
          </w:tcPr>
          <w:p w:rsidR="003606DE" w:rsidRDefault="003606DE">
            <w:pPr>
              <w:jc w:val="center"/>
              <w:rPr>
                <w:bdr w:val="none" w:sz="0" w:space="0" w:color="auto" w:frame="1"/>
                <w:lang w:val="en-US"/>
              </w:rPr>
            </w:pPr>
            <w:r>
              <w:rPr>
                <w:noProof/>
                <w:bdr w:val="none" w:sz="0" w:space="0" w:color="auto" w:frame="1"/>
                <w:lang w:eastAsia="en-GB"/>
              </w:rPr>
              <w:drawing>
                <wp:inline distT="0" distB="0" distL="0" distR="0">
                  <wp:extent cx="5905500" cy="1476375"/>
                  <wp:effectExtent l="0" t="0" r="0" b="9525"/>
                  <wp:docPr id="2" name="Picture 2" descr="CEL SPELLMAN APP BANNER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L SPELLMAN APP BANNER A"/>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905500" cy="1476375"/>
                          </a:xfrm>
                          <a:prstGeom prst="rect">
                            <a:avLst/>
                          </a:prstGeom>
                          <a:noFill/>
                          <a:ln>
                            <a:noFill/>
                          </a:ln>
                        </pic:spPr>
                      </pic:pic>
                    </a:graphicData>
                  </a:graphic>
                </wp:inline>
              </w:drawing>
            </w:r>
          </w:p>
        </w:tc>
      </w:tr>
      <w:tr w:rsidR="003606DE" w:rsidTr="003606DE">
        <w:trPr>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tcPr>
          <w:p w:rsidR="003606DE" w:rsidRDefault="003606DE">
            <w:pPr>
              <w:rPr>
                <w:bdr w:val="none" w:sz="0" w:space="0" w:color="auto" w:frame="1"/>
                <w:lang w:val="en-US"/>
              </w:rPr>
            </w:pPr>
          </w:p>
        </w:tc>
        <w:tc>
          <w:tcPr>
            <w:tcW w:w="8596" w:type="dxa"/>
            <w:gridSpan w:val="3"/>
            <w:tcBorders>
              <w:top w:val="nil"/>
              <w:left w:val="nil"/>
              <w:bottom w:val="single" w:sz="8" w:space="0" w:color="auto"/>
              <w:right w:val="nil"/>
            </w:tcBorders>
            <w:shd w:val="clear" w:color="auto" w:fill="FFFFFF"/>
            <w:tcMar>
              <w:top w:w="85" w:type="dxa"/>
              <w:left w:w="85" w:type="dxa"/>
              <w:bottom w:w="85" w:type="dxa"/>
              <w:right w:w="85" w:type="dxa"/>
            </w:tcMar>
          </w:tcPr>
          <w:p w:rsidR="003606DE" w:rsidRDefault="003606DE">
            <w:pPr>
              <w:rPr>
                <w:b/>
                <w:bCs/>
                <w:sz w:val="28"/>
                <w:szCs w:val="28"/>
                <w:bdr w:val="none" w:sz="0" w:space="0" w:color="auto" w:frame="1"/>
                <w:lang w:val="en-US"/>
              </w:rPr>
            </w:pPr>
          </w:p>
          <w:p w:rsidR="003606DE" w:rsidRDefault="003606DE">
            <w:pPr>
              <w:rPr>
                <w:sz w:val="28"/>
                <w:szCs w:val="28"/>
                <w:bdr w:val="none" w:sz="0" w:space="0" w:color="auto" w:frame="1"/>
                <w:lang w:val="en-US"/>
              </w:rPr>
            </w:pPr>
            <w:r>
              <w:rPr>
                <w:b/>
                <w:bCs/>
                <w:sz w:val="28"/>
                <w:szCs w:val="28"/>
                <w:bdr w:val="none" w:sz="0" w:space="0" w:color="auto" w:frame="1"/>
                <w:lang w:val="en-US"/>
              </w:rPr>
              <w:br/>
            </w:r>
            <w:r>
              <w:rPr>
                <w:b/>
                <w:bCs/>
                <w:color w:val="990033"/>
                <w:sz w:val="28"/>
                <w:szCs w:val="28"/>
                <w:bdr w:val="none" w:sz="0" w:space="0" w:color="auto" w:frame="1"/>
                <w:lang w:val="en-US"/>
              </w:rPr>
              <w:t>INTRODUCING OUR HEALTH UNCOVERED PODCASTS</w:t>
            </w:r>
            <w:r>
              <w:rPr>
                <w:b/>
                <w:bCs/>
                <w:color w:val="990033"/>
                <w:sz w:val="28"/>
                <w:szCs w:val="28"/>
                <w:bdr w:val="none" w:sz="0" w:space="0" w:color="auto" w:frame="1"/>
                <w:lang w:val="en-US"/>
              </w:rPr>
              <w:br/>
              <w:t xml:space="preserve">With </w:t>
            </w:r>
            <w:proofErr w:type="spellStart"/>
            <w:r>
              <w:rPr>
                <w:b/>
                <w:bCs/>
                <w:color w:val="990033"/>
                <w:sz w:val="28"/>
                <w:szCs w:val="28"/>
                <w:bdr w:val="none" w:sz="0" w:space="0" w:color="auto" w:frame="1"/>
                <w:lang w:val="en-US"/>
              </w:rPr>
              <w:t>Cel</w:t>
            </w:r>
            <w:proofErr w:type="spellEnd"/>
            <w:r>
              <w:rPr>
                <w:b/>
                <w:bCs/>
                <w:color w:val="990033"/>
                <w:sz w:val="28"/>
                <w:szCs w:val="28"/>
                <w:bdr w:val="none" w:sz="0" w:space="0" w:color="auto" w:frame="1"/>
                <w:lang w:val="en-US"/>
              </w:rPr>
              <w:t xml:space="preserve"> Spellman</w:t>
            </w:r>
          </w:p>
          <w:p w:rsidR="003606DE" w:rsidRDefault="003606DE">
            <w:pPr>
              <w:rPr>
                <w:bdr w:val="none" w:sz="0" w:space="0" w:color="auto" w:frame="1"/>
                <w:lang w:val="en-US"/>
              </w:rPr>
            </w:pPr>
          </w:p>
          <w:p w:rsidR="003606DE" w:rsidRDefault="003606DE">
            <w:pPr>
              <w:spacing w:after="240"/>
              <w:rPr>
                <w:bdr w:val="none" w:sz="0" w:space="0" w:color="auto" w:frame="1"/>
                <w:lang w:val="en-US"/>
              </w:rPr>
            </w:pPr>
            <w:r>
              <w:rPr>
                <w:color w:val="000000"/>
                <w:sz w:val="29"/>
                <w:szCs w:val="29"/>
                <w:bdr w:val="none" w:sz="0" w:space="0" w:color="auto" w:frame="1"/>
                <w:lang w:val="en-US"/>
              </w:rPr>
              <w:t xml:space="preserve">Public health nurses and mental health teams </w:t>
            </w:r>
            <w:r>
              <w:rPr>
                <w:sz w:val="29"/>
                <w:szCs w:val="29"/>
                <w:bdr w:val="none" w:sz="0" w:space="0" w:color="auto" w:frame="1"/>
                <w:lang w:val="en-US"/>
              </w:rPr>
              <w:t xml:space="preserve">have made a new series of podcasts hosted by BBC Radio One presenter and actor </w:t>
            </w:r>
            <w:proofErr w:type="spellStart"/>
            <w:r>
              <w:rPr>
                <w:sz w:val="29"/>
                <w:szCs w:val="29"/>
                <w:bdr w:val="none" w:sz="0" w:space="0" w:color="auto" w:frame="1"/>
                <w:lang w:val="en-US"/>
              </w:rPr>
              <w:t>Cel</w:t>
            </w:r>
            <w:proofErr w:type="spellEnd"/>
            <w:r>
              <w:rPr>
                <w:sz w:val="29"/>
                <w:szCs w:val="29"/>
                <w:bdr w:val="none" w:sz="0" w:space="0" w:color="auto" w:frame="1"/>
                <w:lang w:val="en-US"/>
              </w:rPr>
              <w:t xml:space="preserve"> Spellman, aiming to get more young people in-tune with their health and wellbeing.</w:t>
            </w:r>
          </w:p>
          <w:p w:rsidR="003606DE" w:rsidRDefault="003606DE">
            <w:pPr>
              <w:rPr>
                <w:bdr w:val="none" w:sz="0" w:space="0" w:color="auto" w:frame="1"/>
                <w:lang w:val="en-US"/>
              </w:rPr>
            </w:pPr>
            <w:r>
              <w:rPr>
                <w:bdr w:val="none" w:sz="0" w:space="0" w:color="auto" w:frame="1"/>
                <w:lang w:val="en-US"/>
              </w:rPr>
              <w:t xml:space="preserve">Sexually transmitted infections, low-mood, self-harming, drugs, alcohol and everything else – </w:t>
            </w:r>
            <w:proofErr w:type="spellStart"/>
            <w:r>
              <w:rPr>
                <w:bdr w:val="none" w:sz="0" w:space="0" w:color="auto" w:frame="1"/>
                <w:lang w:val="en-US"/>
              </w:rPr>
              <w:t>Cel</w:t>
            </w:r>
            <w:proofErr w:type="spellEnd"/>
            <w:r>
              <w:rPr>
                <w:bdr w:val="none" w:sz="0" w:space="0" w:color="auto" w:frame="1"/>
                <w:lang w:val="en-US"/>
              </w:rPr>
              <w:t xml:space="preserve"> is lifting the lid on teenage health.</w:t>
            </w:r>
          </w:p>
          <w:p w:rsidR="003606DE" w:rsidRDefault="003606DE">
            <w:pPr>
              <w:rPr>
                <w:bdr w:val="none" w:sz="0" w:space="0" w:color="auto" w:frame="1"/>
                <w:lang w:val="en-US"/>
              </w:rPr>
            </w:pPr>
          </w:p>
          <w:p w:rsidR="003606DE" w:rsidRDefault="003606DE">
            <w:pPr>
              <w:rPr>
                <w:bdr w:val="none" w:sz="0" w:space="0" w:color="auto" w:frame="1"/>
                <w:lang w:val="en-US"/>
              </w:rPr>
            </w:pPr>
            <w:r>
              <w:rPr>
                <w:bdr w:val="none" w:sz="0" w:space="0" w:color="auto" w:frame="1"/>
                <w:lang w:val="en-US"/>
              </w:rPr>
              <w:t xml:space="preserve">Life isn't always easy - and young people across the country have been helping us explore the issues that they’re facing today.  From online bullying to sexual health, body image to mental health.  They've been asking the questions you want to hear answered, joined by the health professionals that help young people to provide solutions, support and understanding. </w:t>
            </w:r>
          </w:p>
          <w:p w:rsidR="003606DE" w:rsidRDefault="003606DE">
            <w:pPr>
              <w:rPr>
                <w:rFonts w:ascii="Calibri" w:hAnsi="Calibri" w:cs="Calibri"/>
                <w:bdr w:val="none" w:sz="0" w:space="0" w:color="auto" w:frame="1"/>
                <w:lang w:val="en-US"/>
              </w:rPr>
            </w:pPr>
          </w:p>
          <w:p w:rsidR="003606DE" w:rsidRDefault="003606DE">
            <w:pPr>
              <w:rPr>
                <w:bdr w:val="none" w:sz="0" w:space="0" w:color="auto" w:frame="1"/>
                <w:lang w:val="en-US"/>
              </w:rPr>
            </w:pPr>
          </w:p>
        </w:tc>
        <w:tc>
          <w:tcPr>
            <w:tcW w:w="414" w:type="dxa"/>
            <w:tcBorders>
              <w:top w:val="nil"/>
              <w:left w:val="nil"/>
              <w:bottom w:val="single" w:sz="8" w:space="0" w:color="auto"/>
              <w:right w:val="single" w:sz="8" w:space="0" w:color="auto"/>
            </w:tcBorders>
            <w:shd w:val="clear" w:color="auto" w:fill="FFFFFF"/>
            <w:tcMar>
              <w:top w:w="85" w:type="dxa"/>
              <w:left w:w="85" w:type="dxa"/>
              <w:bottom w:w="85" w:type="dxa"/>
              <w:right w:w="85" w:type="dxa"/>
            </w:tcMar>
          </w:tcPr>
          <w:p w:rsidR="003606DE" w:rsidRDefault="003606DE">
            <w:pPr>
              <w:rPr>
                <w:bdr w:val="none" w:sz="0" w:space="0" w:color="auto" w:frame="1"/>
                <w:lang w:val="en-US"/>
              </w:rPr>
            </w:pPr>
          </w:p>
        </w:tc>
      </w:tr>
      <w:tr w:rsidR="003606DE" w:rsidTr="003606DE">
        <w:trPr>
          <w:jc w:val="center"/>
        </w:trPr>
        <w:tc>
          <w:tcPr>
            <w:tcW w:w="519" w:type="dxa"/>
            <w:tcBorders>
              <w:top w:val="nil"/>
              <w:left w:val="single" w:sz="8" w:space="0" w:color="auto"/>
              <w:bottom w:val="single" w:sz="8" w:space="0" w:color="auto"/>
              <w:right w:val="nil"/>
            </w:tcBorders>
            <w:shd w:val="clear" w:color="auto" w:fill="000000"/>
            <w:tcMar>
              <w:top w:w="85" w:type="dxa"/>
              <w:left w:w="85" w:type="dxa"/>
              <w:bottom w:w="85" w:type="dxa"/>
              <w:right w:w="85" w:type="dxa"/>
            </w:tcMar>
          </w:tcPr>
          <w:p w:rsidR="003606DE" w:rsidRDefault="003606DE">
            <w:pPr>
              <w:jc w:val="center"/>
              <w:rPr>
                <w:color w:val="FFFFFF"/>
                <w:bdr w:val="none" w:sz="0" w:space="0" w:color="auto" w:frame="1"/>
                <w:lang w:val="en-US"/>
              </w:rPr>
            </w:pPr>
          </w:p>
        </w:tc>
        <w:tc>
          <w:tcPr>
            <w:tcW w:w="8596" w:type="dxa"/>
            <w:gridSpan w:val="3"/>
            <w:tcBorders>
              <w:top w:val="nil"/>
              <w:left w:val="nil"/>
              <w:bottom w:val="single" w:sz="8" w:space="0" w:color="auto"/>
              <w:right w:val="nil"/>
            </w:tcBorders>
            <w:shd w:val="clear" w:color="auto" w:fill="000000"/>
            <w:tcMar>
              <w:top w:w="85" w:type="dxa"/>
              <w:left w:w="85" w:type="dxa"/>
              <w:bottom w:w="85" w:type="dxa"/>
              <w:right w:w="85" w:type="dxa"/>
            </w:tcMar>
            <w:vAlign w:val="center"/>
          </w:tcPr>
          <w:p w:rsidR="003606DE" w:rsidRDefault="003606DE">
            <w:pPr>
              <w:spacing w:after="240"/>
              <w:jc w:val="center"/>
              <w:rPr>
                <w:b/>
                <w:bCs/>
                <w:color w:val="FFFFFF"/>
                <w:sz w:val="16"/>
                <w:szCs w:val="16"/>
                <w:bdr w:val="none" w:sz="0" w:space="0" w:color="auto" w:frame="1"/>
                <w:lang w:val="en-US"/>
              </w:rPr>
            </w:pPr>
            <w:r>
              <w:rPr>
                <w:b/>
                <w:bCs/>
                <w:color w:val="FFFFFF"/>
                <w:sz w:val="28"/>
                <w:szCs w:val="28"/>
                <w:bdr w:val="none" w:sz="0" w:space="0" w:color="auto" w:frame="1"/>
                <w:lang w:val="en-US"/>
              </w:rPr>
              <w:t>LISTEN NOW</w:t>
            </w:r>
          </w:p>
          <w:p w:rsidR="003606DE" w:rsidRDefault="003606DE">
            <w:pPr>
              <w:jc w:val="center"/>
              <w:rPr>
                <w:b/>
                <w:bCs/>
                <w:color w:val="FFFFFF"/>
                <w:bdr w:val="none" w:sz="0" w:space="0" w:color="auto" w:frame="1"/>
                <w:lang w:val="en-US"/>
              </w:rPr>
            </w:pPr>
            <w:r>
              <w:rPr>
                <w:b/>
                <w:bCs/>
                <w:color w:val="FFFFFF"/>
                <w:bdr w:val="none" w:sz="0" w:space="0" w:color="auto" w:frame="1"/>
                <w:lang w:val="en-US"/>
              </w:rPr>
              <w:t xml:space="preserve">The podcasts are free and you can listen via mobile devices.  Just search “Health Uncovered” in your </w:t>
            </w:r>
            <w:proofErr w:type="spellStart"/>
            <w:r>
              <w:rPr>
                <w:b/>
                <w:bCs/>
                <w:color w:val="FFFFFF"/>
                <w:bdr w:val="none" w:sz="0" w:space="0" w:color="auto" w:frame="1"/>
                <w:lang w:val="en-US"/>
              </w:rPr>
              <w:t>favourite</w:t>
            </w:r>
            <w:proofErr w:type="spellEnd"/>
            <w:r>
              <w:rPr>
                <w:b/>
                <w:bCs/>
                <w:color w:val="FFFFFF"/>
                <w:bdr w:val="none" w:sz="0" w:space="0" w:color="auto" w:frame="1"/>
                <w:lang w:val="en-US"/>
              </w:rPr>
              <w:t xml:space="preserve"> podcast app, like iTunes, or click below …</w:t>
            </w:r>
          </w:p>
          <w:p w:rsidR="003606DE" w:rsidRDefault="003606DE">
            <w:pPr>
              <w:jc w:val="center"/>
              <w:rPr>
                <w:color w:val="FFFFFF"/>
                <w:bdr w:val="none" w:sz="0" w:space="0" w:color="auto" w:frame="1"/>
                <w:lang w:val="en-US"/>
              </w:rPr>
            </w:pPr>
          </w:p>
        </w:tc>
        <w:tc>
          <w:tcPr>
            <w:tcW w:w="414" w:type="dxa"/>
            <w:tcBorders>
              <w:top w:val="nil"/>
              <w:left w:val="nil"/>
              <w:bottom w:val="single" w:sz="8" w:space="0" w:color="auto"/>
              <w:right w:val="single" w:sz="8" w:space="0" w:color="auto"/>
            </w:tcBorders>
            <w:shd w:val="clear" w:color="auto" w:fill="000000"/>
            <w:tcMar>
              <w:top w:w="85" w:type="dxa"/>
              <w:left w:w="85" w:type="dxa"/>
              <w:bottom w:w="85" w:type="dxa"/>
              <w:right w:w="85" w:type="dxa"/>
            </w:tcMar>
          </w:tcPr>
          <w:p w:rsidR="003606DE" w:rsidRDefault="003606DE">
            <w:pPr>
              <w:rPr>
                <w:color w:val="FFFFFF"/>
                <w:bdr w:val="none" w:sz="0" w:space="0" w:color="auto" w:frame="1"/>
                <w:lang w:val="en-US"/>
              </w:rPr>
            </w:pPr>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bdr w:val="none" w:sz="0" w:space="0" w:color="auto" w:frame="1"/>
                <w:lang w:val="en-US"/>
              </w:rPr>
            </w:pPr>
            <w:r>
              <w:rPr>
                <w:b/>
                <w:bCs/>
                <w:color w:val="000000"/>
                <w:bdr w:val="none" w:sz="0" w:space="0" w:color="auto" w:frame="1"/>
                <w:lang w:val="en-US"/>
              </w:rPr>
              <w:t>Health Uncovered – Series 1</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6"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7"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
                <w:bCs/>
                <w:color w:val="800000"/>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#1 – Sexual health, STIs</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8"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9"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
                <w:bCs/>
                <w:color w:val="800000"/>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#2 – Bullying, how it feels</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0"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1"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
                <w:bCs/>
                <w:color w:val="800000"/>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#3 – Mental health, me and my emotions</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2"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3"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
                <w:bCs/>
                <w:color w:val="800000"/>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#4 – Sexual health, are you ready?</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4"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5"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
                <w:bCs/>
                <w:color w:val="800000"/>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#5 – Mental health, are you OK?</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6"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7"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
                <w:bCs/>
                <w:color w:val="800000"/>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#6 – Grooming, could it happen to me?</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8"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19"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
                <w:bCs/>
                <w:color w:val="800000"/>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#7 – Mental health, taking control</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20"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21"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
                <w:bCs/>
                <w:color w:val="800000"/>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#8 – Mental health, asking for help</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22"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23"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tcPr>
          <w:p w:rsidR="003606DE" w:rsidRDefault="003606DE">
            <w:pPr>
              <w:rPr>
                <w:b/>
                <w:bCs/>
                <w:color w:val="800000"/>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#9 – Social media, is this real life?</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24"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25"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FFFFFF"/>
            <w:tcMar>
              <w:top w:w="85" w:type="dxa"/>
              <w:left w:w="85" w:type="dxa"/>
              <w:bottom w:w="85" w:type="dxa"/>
              <w:right w:w="85" w:type="dxa"/>
            </w:tcMar>
            <w:vAlign w:val="center"/>
            <w:hideMark/>
          </w:tcPr>
          <w:p w:rsidR="003606DE" w:rsidRDefault="003606DE">
            <w:pPr>
              <w:rPr>
                <w:color w:val="0000FF"/>
                <w:bdr w:val="none" w:sz="0" w:space="0" w:color="auto" w:frame="1"/>
                <w:lang w:val="en-US"/>
              </w:rPr>
            </w:pPr>
          </w:p>
        </w:tc>
        <w:tc>
          <w:tcPr>
            <w:tcW w:w="4741"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rPr>
                <w:b/>
                <w:bCs/>
                <w:color w:val="800000"/>
                <w:bdr w:val="none" w:sz="0" w:space="0" w:color="auto" w:frame="1"/>
                <w:lang w:val="en-US"/>
              </w:rPr>
            </w:pPr>
            <w:r>
              <w:rPr>
                <w:b/>
                <w:bCs/>
                <w:color w:val="800000"/>
                <w:bdr w:val="none" w:sz="0" w:space="0" w:color="auto" w:frame="1"/>
                <w:lang w:val="en-US"/>
              </w:rPr>
              <w:t>#10 – Substance misuse, know your choices</w:t>
            </w:r>
          </w:p>
        </w:tc>
        <w:tc>
          <w:tcPr>
            <w:tcW w:w="2132" w:type="dxa"/>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26" w:history="1">
              <w:r>
                <w:rPr>
                  <w:rStyle w:val="Hyperlink"/>
                  <w:bdr w:val="none" w:sz="0" w:space="0" w:color="auto" w:frame="1"/>
                  <w:lang w:val="en-US"/>
                </w:rPr>
                <w:t>iTunes</w:t>
              </w:r>
            </w:hyperlink>
          </w:p>
        </w:tc>
        <w:tc>
          <w:tcPr>
            <w:tcW w:w="2137" w:type="dxa"/>
            <w:gridSpan w:val="2"/>
            <w:tcBorders>
              <w:top w:val="nil"/>
              <w:left w:val="nil"/>
              <w:bottom w:val="single" w:sz="8" w:space="0" w:color="auto"/>
              <w:right w:val="single" w:sz="8" w:space="0" w:color="auto"/>
            </w:tcBorders>
            <w:shd w:val="clear" w:color="auto" w:fill="FFFFFF"/>
            <w:tcMar>
              <w:top w:w="85" w:type="dxa"/>
              <w:left w:w="85" w:type="dxa"/>
              <w:bottom w:w="85" w:type="dxa"/>
              <w:right w:w="85" w:type="dxa"/>
            </w:tcMar>
            <w:vAlign w:val="center"/>
            <w:hideMark/>
          </w:tcPr>
          <w:p w:rsidR="003606DE" w:rsidRDefault="003606DE">
            <w:pPr>
              <w:jc w:val="center"/>
              <w:rPr>
                <w:color w:val="0000FF"/>
                <w:bdr w:val="none" w:sz="0" w:space="0" w:color="auto" w:frame="1"/>
                <w:lang w:val="en-US"/>
              </w:rPr>
            </w:pPr>
            <w:hyperlink r:id="rId27" w:history="1">
              <w:r>
                <w:rPr>
                  <w:rStyle w:val="Hyperlink"/>
                  <w:bdr w:val="none" w:sz="0" w:space="0" w:color="auto" w:frame="1"/>
                  <w:lang w:val="en-US"/>
                </w:rPr>
                <w:t>Non-iTunes</w:t>
              </w:r>
            </w:hyperlink>
          </w:p>
        </w:tc>
      </w:tr>
      <w:tr w:rsidR="003606DE" w:rsidTr="003606DE">
        <w:trPr>
          <w:trHeight w:val="353"/>
          <w:jc w:val="center"/>
        </w:trPr>
        <w:tc>
          <w:tcPr>
            <w:tcW w:w="519" w:type="dxa"/>
            <w:tcBorders>
              <w:top w:val="nil"/>
              <w:left w:val="single" w:sz="8" w:space="0" w:color="auto"/>
              <w:bottom w:val="single" w:sz="8" w:space="0" w:color="auto"/>
              <w:right w:val="nil"/>
            </w:tcBorders>
            <w:shd w:val="clear" w:color="auto" w:fill="000000"/>
            <w:tcMar>
              <w:top w:w="85" w:type="dxa"/>
              <w:left w:w="85" w:type="dxa"/>
              <w:bottom w:w="85" w:type="dxa"/>
              <w:right w:w="85" w:type="dxa"/>
            </w:tcMar>
            <w:vAlign w:val="center"/>
          </w:tcPr>
          <w:p w:rsidR="003606DE" w:rsidRDefault="003606DE">
            <w:pPr>
              <w:rPr>
                <w:bdr w:val="none" w:sz="0" w:space="0" w:color="auto" w:frame="1"/>
                <w:lang w:val="en-US"/>
              </w:rPr>
            </w:pPr>
          </w:p>
        </w:tc>
        <w:tc>
          <w:tcPr>
            <w:tcW w:w="4741" w:type="dxa"/>
            <w:tcBorders>
              <w:top w:val="nil"/>
              <w:left w:val="nil"/>
              <w:bottom w:val="single" w:sz="8" w:space="0" w:color="auto"/>
              <w:right w:val="single" w:sz="8" w:space="0" w:color="auto"/>
            </w:tcBorders>
            <w:shd w:val="clear" w:color="auto" w:fill="000000"/>
            <w:tcMar>
              <w:top w:w="85" w:type="dxa"/>
              <w:left w:w="85" w:type="dxa"/>
              <w:bottom w:w="85" w:type="dxa"/>
              <w:right w:w="85" w:type="dxa"/>
            </w:tcMar>
            <w:vAlign w:val="center"/>
          </w:tcPr>
          <w:p w:rsidR="003606DE" w:rsidRDefault="003606DE">
            <w:pPr>
              <w:rPr>
                <w:b/>
                <w:bCs/>
                <w:color w:val="660033"/>
                <w:bdr w:val="none" w:sz="0" w:space="0" w:color="auto" w:frame="1"/>
                <w:lang w:val="en-US"/>
              </w:rPr>
            </w:pPr>
          </w:p>
        </w:tc>
        <w:tc>
          <w:tcPr>
            <w:tcW w:w="2132" w:type="dxa"/>
            <w:tcBorders>
              <w:top w:val="nil"/>
              <w:left w:val="nil"/>
              <w:bottom w:val="single" w:sz="8" w:space="0" w:color="auto"/>
              <w:right w:val="single" w:sz="8" w:space="0" w:color="auto"/>
            </w:tcBorders>
            <w:shd w:val="clear" w:color="auto" w:fill="000000"/>
            <w:tcMar>
              <w:top w:w="85" w:type="dxa"/>
              <w:left w:w="85" w:type="dxa"/>
              <w:bottom w:w="85" w:type="dxa"/>
              <w:right w:w="85" w:type="dxa"/>
            </w:tcMar>
            <w:vAlign w:val="center"/>
          </w:tcPr>
          <w:p w:rsidR="003606DE" w:rsidRDefault="003606DE">
            <w:pPr>
              <w:rPr>
                <w:color w:val="0000FF"/>
                <w:bdr w:val="none" w:sz="0" w:space="0" w:color="auto" w:frame="1"/>
                <w:lang w:val="en-US"/>
              </w:rPr>
            </w:pPr>
          </w:p>
        </w:tc>
        <w:tc>
          <w:tcPr>
            <w:tcW w:w="2137" w:type="dxa"/>
            <w:gridSpan w:val="2"/>
            <w:tcBorders>
              <w:top w:val="nil"/>
              <w:left w:val="nil"/>
              <w:bottom w:val="single" w:sz="8" w:space="0" w:color="auto"/>
              <w:right w:val="single" w:sz="8" w:space="0" w:color="auto"/>
            </w:tcBorders>
            <w:shd w:val="clear" w:color="auto" w:fill="000000"/>
            <w:tcMar>
              <w:top w:w="85" w:type="dxa"/>
              <w:left w:w="85" w:type="dxa"/>
              <w:bottom w:w="85" w:type="dxa"/>
              <w:right w:w="85" w:type="dxa"/>
            </w:tcMar>
            <w:vAlign w:val="center"/>
          </w:tcPr>
          <w:p w:rsidR="003606DE" w:rsidRDefault="003606DE">
            <w:pPr>
              <w:rPr>
                <w:color w:val="0000FF"/>
                <w:bdr w:val="none" w:sz="0" w:space="0" w:color="auto" w:frame="1"/>
                <w:lang w:val="en-US"/>
              </w:rPr>
            </w:pPr>
          </w:p>
        </w:tc>
      </w:tr>
      <w:tr w:rsidR="003606DE" w:rsidTr="003606DE">
        <w:trPr>
          <w:trHeight w:val="64"/>
          <w:jc w:val="center"/>
        </w:trPr>
        <w:tc>
          <w:tcPr>
            <w:tcW w:w="9529" w:type="dxa"/>
            <w:gridSpan w:val="5"/>
            <w:tcBorders>
              <w:top w:val="nil"/>
              <w:left w:val="single" w:sz="8" w:space="0" w:color="auto"/>
              <w:bottom w:val="single" w:sz="8" w:space="0" w:color="auto"/>
              <w:right w:val="single" w:sz="8" w:space="0" w:color="auto"/>
            </w:tcBorders>
            <w:shd w:val="clear" w:color="auto" w:fill="660033"/>
            <w:tcMar>
              <w:top w:w="85" w:type="dxa"/>
              <w:left w:w="85" w:type="dxa"/>
              <w:bottom w:w="85" w:type="dxa"/>
              <w:right w:w="85" w:type="dxa"/>
            </w:tcMar>
            <w:hideMark/>
          </w:tcPr>
          <w:p w:rsidR="003606DE" w:rsidRDefault="003606DE">
            <w:pPr>
              <w:jc w:val="center"/>
              <w:rPr>
                <w:bdr w:val="none" w:sz="0" w:space="0" w:color="auto" w:frame="1"/>
                <w:lang w:val="en-US"/>
              </w:rPr>
            </w:pPr>
            <w:r>
              <w:rPr>
                <w:noProof/>
                <w:bdr w:val="none" w:sz="0" w:space="0" w:color="auto" w:frame="1"/>
                <w:lang w:eastAsia="en-GB"/>
              </w:rPr>
              <w:drawing>
                <wp:inline distT="0" distB="0" distL="0" distR="0">
                  <wp:extent cx="5953125" cy="1485900"/>
                  <wp:effectExtent l="0" t="0" r="9525" b="0"/>
                  <wp:docPr id="1" name="Picture 1" descr="Email Banner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Banner copy"/>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5953125" cy="1485900"/>
                          </a:xfrm>
                          <a:prstGeom prst="rect">
                            <a:avLst/>
                          </a:prstGeom>
                          <a:noFill/>
                          <a:ln>
                            <a:noFill/>
                          </a:ln>
                        </pic:spPr>
                      </pic:pic>
                    </a:graphicData>
                  </a:graphic>
                </wp:inline>
              </w:drawing>
            </w:r>
          </w:p>
        </w:tc>
      </w:tr>
      <w:tr w:rsidR="003606DE" w:rsidTr="003606DE">
        <w:trPr>
          <w:trHeight w:val="64"/>
          <w:jc w:val="center"/>
        </w:trPr>
        <w:tc>
          <w:tcPr>
            <w:tcW w:w="9529" w:type="dxa"/>
            <w:gridSpan w:val="5"/>
            <w:tcBorders>
              <w:top w:val="nil"/>
              <w:left w:val="single" w:sz="8" w:space="0" w:color="auto"/>
              <w:bottom w:val="single" w:sz="8" w:space="0" w:color="auto"/>
              <w:right w:val="single" w:sz="8" w:space="0" w:color="auto"/>
            </w:tcBorders>
            <w:shd w:val="clear" w:color="auto" w:fill="000000"/>
            <w:tcMar>
              <w:top w:w="85" w:type="dxa"/>
              <w:left w:w="85" w:type="dxa"/>
              <w:bottom w:w="85" w:type="dxa"/>
              <w:right w:w="85" w:type="dxa"/>
            </w:tcMar>
          </w:tcPr>
          <w:p w:rsidR="003606DE" w:rsidRDefault="003606DE">
            <w:pPr>
              <w:jc w:val="center"/>
              <w:rPr>
                <w:bdr w:val="none" w:sz="0" w:space="0" w:color="auto" w:frame="1"/>
                <w:lang w:val="en-US"/>
              </w:rPr>
            </w:pPr>
          </w:p>
          <w:p w:rsidR="003606DE" w:rsidRDefault="003606DE">
            <w:pPr>
              <w:jc w:val="center"/>
              <w:rPr>
                <w:bdr w:val="none" w:sz="0" w:space="0" w:color="auto" w:frame="1"/>
                <w:lang w:val="en-US"/>
              </w:rPr>
            </w:pPr>
            <w:r>
              <w:rPr>
                <w:bdr w:val="none" w:sz="0" w:space="0" w:color="auto" w:frame="1"/>
                <w:lang w:val="en-US"/>
              </w:rPr>
              <w:t>TWITTER @</w:t>
            </w:r>
            <w:proofErr w:type="spellStart"/>
            <w:r>
              <w:rPr>
                <w:bdr w:val="none" w:sz="0" w:space="0" w:color="auto" w:frame="1"/>
                <w:lang w:val="en-US"/>
              </w:rPr>
              <w:t>HealthUncovNHS</w:t>
            </w:r>
            <w:proofErr w:type="spellEnd"/>
            <w:r>
              <w:rPr>
                <w:bdr w:val="none" w:sz="0" w:space="0" w:color="auto" w:frame="1"/>
                <w:lang w:val="en-US"/>
              </w:rPr>
              <w:t>     INSTAGRAM @</w:t>
            </w:r>
            <w:proofErr w:type="spellStart"/>
            <w:r>
              <w:rPr>
                <w:bdr w:val="none" w:sz="0" w:space="0" w:color="auto" w:frame="1"/>
                <w:lang w:val="en-US"/>
              </w:rPr>
              <w:t>healthuncovered</w:t>
            </w:r>
            <w:proofErr w:type="spellEnd"/>
            <w:r>
              <w:rPr>
                <w:bdr w:val="none" w:sz="0" w:space="0" w:color="auto" w:frame="1"/>
                <w:lang w:val="en-US"/>
              </w:rPr>
              <w:t xml:space="preserve"> </w:t>
            </w:r>
          </w:p>
          <w:p w:rsidR="003606DE" w:rsidRDefault="003606DE">
            <w:pPr>
              <w:jc w:val="center"/>
              <w:rPr>
                <w:bdr w:val="none" w:sz="0" w:space="0" w:color="auto" w:frame="1"/>
                <w:lang w:val="en-US"/>
              </w:rPr>
            </w:pPr>
          </w:p>
        </w:tc>
      </w:tr>
      <w:tr w:rsidR="003606DE" w:rsidTr="003606DE">
        <w:trPr>
          <w:jc w:val="center"/>
        </w:trPr>
        <w:tc>
          <w:tcPr>
            <w:tcW w:w="525" w:type="dxa"/>
            <w:vAlign w:val="center"/>
            <w:hideMark/>
          </w:tcPr>
          <w:p w:rsidR="003606DE" w:rsidRDefault="003606DE">
            <w:pPr>
              <w:rPr>
                <w:bdr w:val="none" w:sz="0" w:space="0" w:color="auto" w:frame="1"/>
                <w:lang w:val="en-US"/>
              </w:rPr>
            </w:pPr>
          </w:p>
        </w:tc>
        <w:tc>
          <w:tcPr>
            <w:tcW w:w="4770" w:type="dxa"/>
            <w:vAlign w:val="center"/>
            <w:hideMark/>
          </w:tcPr>
          <w:p w:rsidR="003606DE" w:rsidRDefault="003606DE">
            <w:pPr>
              <w:rPr>
                <w:rFonts w:eastAsia="Times New Roman"/>
                <w:sz w:val="20"/>
                <w:szCs w:val="20"/>
                <w:lang w:eastAsia="en-GB"/>
              </w:rPr>
            </w:pPr>
          </w:p>
        </w:tc>
        <w:tc>
          <w:tcPr>
            <w:tcW w:w="2145" w:type="dxa"/>
            <w:vAlign w:val="center"/>
            <w:hideMark/>
          </w:tcPr>
          <w:p w:rsidR="003606DE" w:rsidRDefault="003606DE">
            <w:pPr>
              <w:rPr>
                <w:rFonts w:eastAsia="Times New Roman"/>
                <w:sz w:val="20"/>
                <w:szCs w:val="20"/>
                <w:lang w:eastAsia="en-GB"/>
              </w:rPr>
            </w:pPr>
          </w:p>
        </w:tc>
        <w:tc>
          <w:tcPr>
            <w:tcW w:w="1725" w:type="dxa"/>
            <w:vAlign w:val="center"/>
            <w:hideMark/>
          </w:tcPr>
          <w:p w:rsidR="003606DE" w:rsidRDefault="003606DE">
            <w:pPr>
              <w:rPr>
                <w:rFonts w:eastAsia="Times New Roman"/>
                <w:sz w:val="20"/>
                <w:szCs w:val="20"/>
                <w:lang w:eastAsia="en-GB"/>
              </w:rPr>
            </w:pPr>
          </w:p>
        </w:tc>
        <w:tc>
          <w:tcPr>
            <w:tcW w:w="420" w:type="dxa"/>
            <w:vAlign w:val="center"/>
            <w:hideMark/>
          </w:tcPr>
          <w:p w:rsidR="003606DE" w:rsidRDefault="003606DE">
            <w:pPr>
              <w:rPr>
                <w:rFonts w:eastAsia="Times New Roman"/>
                <w:sz w:val="20"/>
                <w:szCs w:val="20"/>
                <w:lang w:eastAsia="en-GB"/>
              </w:rPr>
            </w:pPr>
          </w:p>
        </w:tc>
      </w:tr>
    </w:tbl>
    <w:p w:rsidR="003606DE" w:rsidRDefault="003606DE" w:rsidP="003606DE">
      <w:pPr>
        <w:rPr>
          <w:lang w:val="en-US"/>
        </w:rPr>
      </w:pPr>
    </w:p>
    <w:p w:rsidR="00FE61C2" w:rsidRDefault="00FE61C2">
      <w:bookmarkStart w:id="0" w:name="_GoBack"/>
      <w:bookmarkEnd w:id="0"/>
    </w:p>
    <w:sectPr w:rsidR="00FE61C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6DE"/>
    <w:rsid w:val="003606DE"/>
    <w:rsid w:val="00FE6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D88443-2023-4088-BF50-633E023D1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6DE"/>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606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393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t.ly/HealthUncS1E1" TargetMode="External"/><Relationship Id="rId13" Type="http://schemas.openxmlformats.org/officeDocument/2006/relationships/hyperlink" Target="http://bit.ly/HealthUnS1E3" TargetMode="External"/><Relationship Id="rId18" Type="http://schemas.openxmlformats.org/officeDocument/2006/relationships/hyperlink" Target="http://bit.ly/HealthUncS1E6" TargetMode="External"/><Relationship Id="rId26" Type="http://schemas.openxmlformats.org/officeDocument/2006/relationships/hyperlink" Target="http://bit.ly/HealthUncS1E10" TargetMode="External"/><Relationship Id="rId3" Type="http://schemas.openxmlformats.org/officeDocument/2006/relationships/webSettings" Target="webSettings.xml"/><Relationship Id="rId21" Type="http://schemas.openxmlformats.org/officeDocument/2006/relationships/hyperlink" Target="http://bit.ly/HealthUnS1E7" TargetMode="External"/><Relationship Id="rId7" Type="http://schemas.openxmlformats.org/officeDocument/2006/relationships/hyperlink" Target="http://bit.ly/HealthUnS1" TargetMode="External"/><Relationship Id="rId12" Type="http://schemas.openxmlformats.org/officeDocument/2006/relationships/hyperlink" Target="http://bit.ly/HealthUncS1E3" TargetMode="External"/><Relationship Id="rId17" Type="http://schemas.openxmlformats.org/officeDocument/2006/relationships/hyperlink" Target="http://bit.ly/HealthUnS1E5" TargetMode="External"/><Relationship Id="rId25" Type="http://schemas.openxmlformats.org/officeDocument/2006/relationships/hyperlink" Target="http://bit.ly/HealthUnS1E9" TargetMode="External"/><Relationship Id="rId2" Type="http://schemas.openxmlformats.org/officeDocument/2006/relationships/settings" Target="settings.xml"/><Relationship Id="rId16" Type="http://schemas.openxmlformats.org/officeDocument/2006/relationships/hyperlink" Target="http://bit.ly/HealthUncS1E5" TargetMode="External"/><Relationship Id="rId20" Type="http://schemas.openxmlformats.org/officeDocument/2006/relationships/hyperlink" Target="http://bit.ly/HealthUncS1E7" TargetMode="External"/><Relationship Id="rId29" Type="http://schemas.openxmlformats.org/officeDocument/2006/relationships/image" Target="cid:image004.jpg@01D367A4.30953A60" TargetMode="External"/><Relationship Id="rId1" Type="http://schemas.openxmlformats.org/officeDocument/2006/relationships/styles" Target="styles.xml"/><Relationship Id="rId6" Type="http://schemas.openxmlformats.org/officeDocument/2006/relationships/hyperlink" Target="http://bit.ly/HealthUncS1" TargetMode="External"/><Relationship Id="rId11" Type="http://schemas.openxmlformats.org/officeDocument/2006/relationships/hyperlink" Target="http://bit.ly/HealthUnS1E2" TargetMode="External"/><Relationship Id="rId24" Type="http://schemas.openxmlformats.org/officeDocument/2006/relationships/hyperlink" Target="http://bit.ly/HealthUncS1E9" TargetMode="External"/><Relationship Id="rId5" Type="http://schemas.openxmlformats.org/officeDocument/2006/relationships/image" Target="cid:image003.jpg@01D367A4.30953A60" TargetMode="External"/><Relationship Id="rId15" Type="http://schemas.openxmlformats.org/officeDocument/2006/relationships/hyperlink" Target="http://bit.ly/HealthUnS1E4" TargetMode="External"/><Relationship Id="rId23" Type="http://schemas.openxmlformats.org/officeDocument/2006/relationships/hyperlink" Target="http://bit.ly/HealthUnS1E8" TargetMode="External"/><Relationship Id="rId28" Type="http://schemas.openxmlformats.org/officeDocument/2006/relationships/image" Target="media/image2.jpeg"/><Relationship Id="rId10" Type="http://schemas.openxmlformats.org/officeDocument/2006/relationships/hyperlink" Target="http://bit.ly/HealthUncS1EZ" TargetMode="External"/><Relationship Id="rId19" Type="http://schemas.openxmlformats.org/officeDocument/2006/relationships/hyperlink" Target="http://bit.ly/HealthUnS1E6" TargetMode="External"/><Relationship Id="rId31"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hyperlink" Target="http://bit.ly/HealthUnS1E1" TargetMode="External"/><Relationship Id="rId14" Type="http://schemas.openxmlformats.org/officeDocument/2006/relationships/hyperlink" Target="http://bit.ly/HealthUncS1E4" TargetMode="External"/><Relationship Id="rId22" Type="http://schemas.openxmlformats.org/officeDocument/2006/relationships/hyperlink" Target="http://bit.ly/HealthUncS1E8" TargetMode="External"/><Relationship Id="rId27" Type="http://schemas.openxmlformats.org/officeDocument/2006/relationships/hyperlink" Target="http://bit.ly/HealthUnS1E10"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2197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Health Education England</Company>
  <LinksUpToDate>false</LinksUpToDate>
  <CharactersWithSpaces>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BUSH,Tara</dc:creator>
  <cp:keywords/>
  <dc:description/>
  <cp:lastModifiedBy>BUSH,Tara</cp:lastModifiedBy>
  <cp:revision>1</cp:revision>
  <dcterms:created xsi:type="dcterms:W3CDTF">2017-12-01T14:56:00Z</dcterms:created>
  <dcterms:modified xsi:type="dcterms:W3CDTF">2017-12-01T14:57:00Z</dcterms:modified>
</cp:coreProperties>
</file>